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A23" w:rsidRPr="00BF5C60" w:rsidRDefault="00B40A23" w:rsidP="00B40A23">
      <w:pPr>
        <w:pStyle w:val="NormaleWeb"/>
        <w:spacing w:before="0" w:beforeAutospacing="0" w:after="150" w:afterAutospacing="0"/>
        <w:rPr>
          <w:rFonts w:ascii="Titillium Web" w:hAnsi="Titillium Web"/>
          <w:b/>
          <w:bCs/>
          <w:color w:val="000000"/>
          <w:sz w:val="29"/>
          <w:szCs w:val="29"/>
        </w:rPr>
      </w:pPr>
      <w:r w:rsidRPr="00BF5C60">
        <w:rPr>
          <w:rFonts w:ascii="Titillium Web" w:hAnsi="Titillium Web"/>
          <w:b/>
          <w:bCs/>
          <w:color w:val="000000"/>
          <w:sz w:val="29"/>
          <w:szCs w:val="29"/>
        </w:rPr>
        <w:t xml:space="preserve">Startup e PMI innovative - Incentivi fiscali de </w:t>
      </w:r>
      <w:proofErr w:type="spellStart"/>
      <w:r w:rsidRPr="00BF5C60">
        <w:rPr>
          <w:rFonts w:ascii="Titillium Web" w:hAnsi="Titillium Web"/>
          <w:b/>
          <w:bCs/>
          <w:color w:val="000000"/>
          <w:sz w:val="29"/>
          <w:szCs w:val="29"/>
        </w:rPr>
        <w:t>minimis</w:t>
      </w:r>
      <w:proofErr w:type="spellEnd"/>
    </w:p>
    <w:p w:rsidR="00B40A23" w:rsidRDefault="00B40A23" w:rsidP="00B40A23">
      <w:pPr>
        <w:pStyle w:val="NormaleWeb"/>
        <w:spacing w:before="0" w:beforeAutospacing="0" w:after="150" w:afterAutospacing="0"/>
        <w:rPr>
          <w:rFonts w:ascii="Titillium Web" w:hAnsi="Titillium Web"/>
          <w:color w:val="000000"/>
          <w:sz w:val="29"/>
          <w:szCs w:val="29"/>
        </w:rPr>
      </w:pPr>
      <w:bookmarkStart w:id="0" w:name="_GoBack"/>
      <w:r>
        <w:rPr>
          <w:rFonts w:ascii="Titillium Web" w:hAnsi="Titillium Web"/>
          <w:color w:val="000000"/>
          <w:sz w:val="29"/>
          <w:szCs w:val="29"/>
        </w:rPr>
        <w:t xml:space="preserve">Incentivo fiscale in “de </w:t>
      </w:r>
      <w:proofErr w:type="spellStart"/>
      <w:r>
        <w:rPr>
          <w:rFonts w:ascii="Titillium Web" w:hAnsi="Titillium Web"/>
          <w:color w:val="000000"/>
          <w:sz w:val="29"/>
          <w:szCs w:val="29"/>
        </w:rPr>
        <w:t>minimis</w:t>
      </w:r>
      <w:proofErr w:type="spellEnd"/>
      <w:r>
        <w:rPr>
          <w:rFonts w:ascii="Titillium Web" w:hAnsi="Titillium Web"/>
          <w:color w:val="000000"/>
          <w:sz w:val="29"/>
          <w:szCs w:val="29"/>
        </w:rPr>
        <w:t>” all’investimento in startup innovative e PMI innovative</w:t>
      </w:r>
    </w:p>
    <w:bookmarkEnd w:id="0"/>
    <w:p w:rsidR="00B40A23" w:rsidRDefault="00B40A23" w:rsidP="00B40A23">
      <w:pPr>
        <w:pStyle w:val="NormaleWeb"/>
        <w:spacing w:before="0" w:beforeAutospacing="0" w:after="150" w:afterAutospacing="0"/>
        <w:rPr>
          <w:rFonts w:ascii="Titillium Web" w:hAnsi="Titillium Web"/>
          <w:color w:val="000000"/>
          <w:sz w:val="29"/>
          <w:szCs w:val="29"/>
        </w:rPr>
      </w:pPr>
      <w:r>
        <w:rPr>
          <w:rFonts w:ascii="Titillium Web" w:hAnsi="Titillium Web"/>
          <w:color w:val="000000"/>
          <w:sz w:val="29"/>
          <w:szCs w:val="29"/>
        </w:rPr>
        <w:t>Cos'è</w:t>
      </w:r>
      <w:r>
        <w:rPr>
          <w:rFonts w:ascii="Titillium Web" w:hAnsi="Titillium Web"/>
          <w:color w:val="000000"/>
          <w:sz w:val="29"/>
          <w:szCs w:val="29"/>
        </w:rPr>
        <w:br/>
        <w:t>L'incentivo prevede una detrazione IRPEF del 50% destinata alle persone fisiche che investono nel capitale di rischio</w:t>
      </w:r>
      <w:r>
        <w:rPr>
          <w:rFonts w:ascii="Titillium Web" w:hAnsi="Titillium Web"/>
          <w:color w:val="000000"/>
          <w:sz w:val="29"/>
          <w:szCs w:val="29"/>
        </w:rPr>
        <w:br/>
        <w:t xml:space="preserve">di startup innovative o PMI innovative. Le agevolazioni sono concesse ai sensi del Regolamento “de </w:t>
      </w:r>
      <w:proofErr w:type="spellStart"/>
      <w:proofErr w:type="gramStart"/>
      <w:r>
        <w:rPr>
          <w:rFonts w:ascii="Titillium Web" w:hAnsi="Titillium Web"/>
          <w:color w:val="000000"/>
          <w:sz w:val="29"/>
          <w:szCs w:val="29"/>
        </w:rPr>
        <w:t>minimis</w:t>
      </w:r>
      <w:proofErr w:type="spellEnd"/>
      <w:r>
        <w:rPr>
          <w:rFonts w:ascii="Titillium Web" w:hAnsi="Titillium Web"/>
          <w:color w:val="000000"/>
          <w:sz w:val="29"/>
          <w:szCs w:val="29"/>
        </w:rPr>
        <w:t>”</w:t>
      </w:r>
      <w:r>
        <w:rPr>
          <w:rFonts w:ascii="Titillium Web" w:hAnsi="Titillium Web"/>
          <w:color w:val="000000"/>
          <w:sz w:val="29"/>
          <w:szCs w:val="29"/>
        </w:rPr>
        <w:br/>
        <w:t>(</w:t>
      </w:r>
      <w:proofErr w:type="gramEnd"/>
      <w:r>
        <w:rPr>
          <w:rFonts w:ascii="Titillium Web" w:hAnsi="Titillium Web"/>
          <w:color w:val="000000"/>
          <w:sz w:val="29"/>
          <w:szCs w:val="29"/>
        </w:rPr>
        <w:t>Regolamento (UE) n. 1407/2013 della Commissione del 18 dicembre 2013).</w:t>
      </w:r>
      <w:r>
        <w:rPr>
          <w:rFonts w:ascii="Titillium Web" w:hAnsi="Titillium Web"/>
          <w:color w:val="000000"/>
          <w:sz w:val="29"/>
          <w:szCs w:val="29"/>
        </w:rPr>
        <w:br/>
        <w:t>Le modalità di accesso al beneficio sono disciplinate dal Decreto interministeriale 28 dicembre 2020. La misura è</w:t>
      </w:r>
      <w:r>
        <w:rPr>
          <w:rFonts w:ascii="Titillium Web" w:hAnsi="Titillium Web"/>
          <w:color w:val="000000"/>
          <w:sz w:val="29"/>
          <w:szCs w:val="29"/>
        </w:rPr>
        <w:br/>
        <w:t>prevista dal Decreto Rilancio (D.L. 34/2020, art. 38, commi 7 e 8).</w:t>
      </w:r>
      <w:r>
        <w:rPr>
          <w:rFonts w:ascii="Titillium Web" w:hAnsi="Titillium Web"/>
          <w:color w:val="000000"/>
          <w:sz w:val="29"/>
          <w:szCs w:val="29"/>
        </w:rPr>
        <w:br/>
        <w:t>Ai fini della fruizione dell’incentivo e prima dell’effettuazione dell’investimento, il legale rappresentante della startup</w:t>
      </w:r>
      <w:r>
        <w:rPr>
          <w:rFonts w:ascii="Titillium Web" w:hAnsi="Titillium Web"/>
          <w:color w:val="000000"/>
          <w:sz w:val="29"/>
          <w:szCs w:val="29"/>
        </w:rPr>
        <w:br/>
        <w:t>innovativa o della PMI innovativa è tenuto a presentare istanza sulla piattaforma informatica “Incentivi fiscali in</w:t>
      </w:r>
      <w:r>
        <w:rPr>
          <w:rFonts w:ascii="Titillium Web" w:hAnsi="Titillium Web"/>
          <w:color w:val="000000"/>
          <w:sz w:val="29"/>
          <w:szCs w:val="29"/>
        </w:rPr>
        <w:br/>
        <w:t xml:space="preserve">regime «de </w:t>
      </w:r>
      <w:proofErr w:type="spellStart"/>
      <w:r>
        <w:rPr>
          <w:rFonts w:ascii="Titillium Web" w:hAnsi="Titillium Web"/>
          <w:color w:val="000000"/>
          <w:sz w:val="29"/>
          <w:szCs w:val="29"/>
        </w:rPr>
        <w:t>minimis</w:t>
      </w:r>
      <w:proofErr w:type="spellEnd"/>
      <w:r>
        <w:rPr>
          <w:rFonts w:ascii="Titillium Web" w:hAnsi="Titillium Web"/>
          <w:color w:val="000000"/>
          <w:sz w:val="29"/>
          <w:szCs w:val="29"/>
        </w:rPr>
        <w:t>» per investimenti in start-up e PMI innovative”.</w:t>
      </w:r>
      <w:r>
        <w:rPr>
          <w:rFonts w:ascii="Titillium Web" w:hAnsi="Titillium Web"/>
          <w:color w:val="000000"/>
          <w:sz w:val="29"/>
          <w:szCs w:val="29"/>
        </w:rPr>
        <w:br/>
        <w:t>Come funziona</w:t>
      </w:r>
      <w:r>
        <w:rPr>
          <w:rFonts w:ascii="Titillium Web" w:hAnsi="Titillium Web"/>
          <w:color w:val="000000"/>
          <w:sz w:val="29"/>
          <w:szCs w:val="29"/>
        </w:rPr>
        <w:br/>
        <w:t>L’investimento deve essere mantenuto per almeno tre anni e può essere effettuato direttamente, o per il tramite di</w:t>
      </w:r>
      <w:r>
        <w:rPr>
          <w:rFonts w:ascii="Titillium Web" w:hAnsi="Titillium Web"/>
          <w:color w:val="000000"/>
          <w:sz w:val="29"/>
          <w:szCs w:val="29"/>
        </w:rPr>
        <w:br/>
        <w:t>organismi di investimento collettivo del risparmio (OICR) che investano prevalentemente in startup innovative o PMI</w:t>
      </w:r>
      <w:r>
        <w:rPr>
          <w:rFonts w:ascii="Titillium Web" w:hAnsi="Titillium Web"/>
          <w:color w:val="000000"/>
          <w:sz w:val="29"/>
          <w:szCs w:val="29"/>
        </w:rPr>
        <w:br/>
        <w:t>innovative.</w:t>
      </w:r>
      <w:r>
        <w:rPr>
          <w:rFonts w:ascii="Titillium Web" w:hAnsi="Titillium Web"/>
          <w:color w:val="000000"/>
          <w:sz w:val="29"/>
          <w:szCs w:val="29"/>
        </w:rPr>
        <w:br/>
        <w:t>Per investimenti effettuati in startup innovative, l’investimento agevolabile ammonta ad un massimo di 100mila euro</w:t>
      </w:r>
      <w:r>
        <w:rPr>
          <w:rFonts w:ascii="Titillium Web" w:hAnsi="Titillium Web"/>
          <w:color w:val="000000"/>
          <w:sz w:val="29"/>
          <w:szCs w:val="29"/>
        </w:rPr>
        <w:br/>
        <w:t>per ciascun periodo di imposta. Per investimenti effettuati in PMI innovative, l’investimento agevolabile ammonta ad</w:t>
      </w:r>
      <w:r>
        <w:rPr>
          <w:rFonts w:ascii="Titillium Web" w:hAnsi="Titillium Web"/>
          <w:color w:val="000000"/>
          <w:sz w:val="29"/>
          <w:szCs w:val="29"/>
        </w:rPr>
        <w:br/>
        <w:t>un massimo di 300mila euro per ciascun periodo di imposta (oltre tale limite, sulla parte eccedente l'investitore può</w:t>
      </w:r>
      <w:r>
        <w:rPr>
          <w:rFonts w:ascii="Titillium Web" w:hAnsi="Titillium Web"/>
          <w:color w:val="000000"/>
          <w:sz w:val="29"/>
          <w:szCs w:val="29"/>
        </w:rPr>
        <w:br/>
        <w:t>detrarre il 30% in ciascun periodo d'imposta</w:t>
      </w:r>
      <w:proofErr w:type="gramStart"/>
      <w:r>
        <w:rPr>
          <w:rFonts w:ascii="Titillium Web" w:hAnsi="Titillium Web"/>
          <w:color w:val="000000"/>
          <w:sz w:val="29"/>
          <w:szCs w:val="29"/>
        </w:rPr>
        <w:t>).</w:t>
      </w:r>
      <w:r>
        <w:rPr>
          <w:rFonts w:ascii="Titillium Web" w:hAnsi="Titillium Web"/>
          <w:color w:val="000000"/>
          <w:sz w:val="29"/>
          <w:szCs w:val="29"/>
        </w:rPr>
        <w:br/>
        <w:t>Ai</w:t>
      </w:r>
      <w:proofErr w:type="gramEnd"/>
      <w:r>
        <w:rPr>
          <w:rFonts w:ascii="Titillium Web" w:hAnsi="Titillium Web"/>
          <w:color w:val="000000"/>
          <w:sz w:val="29"/>
          <w:szCs w:val="29"/>
        </w:rPr>
        <w:t xml:space="preserve"> sensi del Regolamento “de </w:t>
      </w:r>
      <w:proofErr w:type="spellStart"/>
      <w:r>
        <w:rPr>
          <w:rFonts w:ascii="Titillium Web" w:hAnsi="Titillium Web"/>
          <w:color w:val="000000"/>
          <w:sz w:val="29"/>
          <w:szCs w:val="29"/>
        </w:rPr>
        <w:t>minimis</w:t>
      </w:r>
      <w:proofErr w:type="spellEnd"/>
      <w:r>
        <w:rPr>
          <w:rFonts w:ascii="Titillium Web" w:hAnsi="Titillium Web"/>
          <w:color w:val="000000"/>
          <w:sz w:val="29"/>
          <w:szCs w:val="29"/>
        </w:rPr>
        <w:t>”, la startup innovativa o la PMI innovativa destinataria dell’investimento non</w:t>
      </w:r>
      <w:r>
        <w:rPr>
          <w:rFonts w:ascii="Titillium Web" w:hAnsi="Titillium Web"/>
          <w:color w:val="000000"/>
          <w:sz w:val="29"/>
          <w:szCs w:val="29"/>
        </w:rPr>
        <w:br/>
        <w:t xml:space="preserve">può ottenere aiuti in “de </w:t>
      </w:r>
      <w:proofErr w:type="spellStart"/>
      <w:r>
        <w:rPr>
          <w:rFonts w:ascii="Titillium Web" w:hAnsi="Titillium Web"/>
          <w:color w:val="000000"/>
          <w:sz w:val="29"/>
          <w:szCs w:val="29"/>
        </w:rPr>
        <w:t>minimis</w:t>
      </w:r>
      <w:proofErr w:type="spellEnd"/>
      <w:r>
        <w:rPr>
          <w:rFonts w:ascii="Titillium Web" w:hAnsi="Titillium Web"/>
          <w:color w:val="000000"/>
          <w:sz w:val="29"/>
          <w:szCs w:val="29"/>
        </w:rPr>
        <w:t>” per più di 200mila euro nell’arco di tre esercizi finanziari.</w:t>
      </w:r>
    </w:p>
    <w:p w:rsidR="000404B3" w:rsidRDefault="000404B3"/>
    <w:sectPr w:rsidR="000404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illium Web">
    <w:altName w:val="Arial"/>
    <w:charset w:val="4D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23"/>
    <w:rsid w:val="000404B3"/>
    <w:rsid w:val="00B4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A19F4-7B3F-44B4-A94D-3717FE0B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4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Storelli</dc:creator>
  <cp:keywords/>
  <dc:description/>
  <cp:lastModifiedBy>Giuseppe Storelli</cp:lastModifiedBy>
  <cp:revision>1</cp:revision>
  <dcterms:created xsi:type="dcterms:W3CDTF">2024-01-19T11:28:00Z</dcterms:created>
  <dcterms:modified xsi:type="dcterms:W3CDTF">2024-01-19T11:29:00Z</dcterms:modified>
</cp:coreProperties>
</file>