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4" w:rsidRDefault="00CB7214" w:rsidP="00CB7214">
      <w:pPr>
        <w:jc w:val="center"/>
      </w:pPr>
      <w:r>
        <w:t>Fonte MIMIT</w:t>
      </w:r>
    </w:p>
    <w:p w:rsidR="00CB7214" w:rsidRDefault="00CB7214" w:rsidP="00CB7214">
      <w:pPr>
        <w:pStyle w:val="Titolo1"/>
        <w:shd w:val="clear" w:color="auto" w:fill="FFFFFF"/>
        <w:spacing w:before="0" w:after="120"/>
        <w:rPr>
          <w:rFonts w:ascii="Titillium Web" w:hAnsi="Titillium Web"/>
          <w:color w:val="19191A"/>
          <w:spacing w:val="-18"/>
        </w:rPr>
      </w:pPr>
      <w:r>
        <w:rPr>
          <w:rFonts w:ascii="Titillium Web" w:hAnsi="Titillium Web"/>
          <w:color w:val="19191A"/>
          <w:spacing w:val="-18"/>
        </w:rPr>
        <w:t>"</w:t>
      </w:r>
      <w:bookmarkStart w:id="0" w:name="_GoBack"/>
      <w:r>
        <w:rPr>
          <w:rFonts w:ascii="Titillium Web" w:hAnsi="Titillium Web"/>
          <w:color w:val="19191A"/>
          <w:spacing w:val="-18"/>
        </w:rPr>
        <w:t>Scoperta Imprenditoriale</w:t>
      </w:r>
      <w:bookmarkEnd w:id="0"/>
      <w:r>
        <w:rPr>
          <w:rFonts w:ascii="Titillium Web" w:hAnsi="Titillium Web"/>
          <w:color w:val="19191A"/>
          <w:spacing w:val="-18"/>
        </w:rPr>
        <w:t>", 300 milioni per la competitività delle imprese del Mezzogiorno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Il Ministero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ha fissato i termini di apertura e le modalità di presentazione delle domande riguardanti la misura "Scoperta imprenditoriale”, a seguito del decreto del 13 luglio firmato dal ministro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Urso</w:t>
      </w:r>
      <w:r>
        <w:rPr>
          <w:rFonts w:ascii="Titillium Web" w:hAnsi="Titillium Web"/>
          <w:color w:val="19191A"/>
          <w:sz w:val="30"/>
          <w:szCs w:val="30"/>
        </w:rPr>
        <w:t>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L'intervento agevolativo ha come obiettivo il sostegno dei progetti di ricerca industriale e di sviluppo sperimentale delle piccole e medie imprese della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Basilicata</w:t>
      </w:r>
      <w:r>
        <w:rPr>
          <w:rFonts w:ascii="Titillium Web" w:hAnsi="Titillium Web"/>
          <w:color w:val="19191A"/>
          <w:sz w:val="30"/>
          <w:szCs w:val="30"/>
        </w:rPr>
        <w:t>,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Calabria</w:t>
      </w:r>
      <w:r>
        <w:rPr>
          <w:rFonts w:ascii="Titillium Web" w:hAnsi="Titillium Web"/>
          <w:color w:val="19191A"/>
          <w:sz w:val="30"/>
          <w:szCs w:val="30"/>
        </w:rPr>
        <w:t>,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Campania</w:t>
      </w:r>
      <w:r>
        <w:rPr>
          <w:rFonts w:ascii="Titillium Web" w:hAnsi="Titillium Web"/>
          <w:color w:val="19191A"/>
          <w:sz w:val="30"/>
          <w:szCs w:val="30"/>
        </w:rPr>
        <w:t>,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Molise</w:t>
      </w:r>
      <w:r>
        <w:rPr>
          <w:rFonts w:ascii="Titillium Web" w:hAnsi="Titillium Web"/>
          <w:color w:val="19191A"/>
          <w:sz w:val="30"/>
          <w:szCs w:val="30"/>
        </w:rPr>
        <w:t>,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Puglia</w:t>
      </w:r>
      <w:r>
        <w:rPr>
          <w:rFonts w:ascii="Titillium Web" w:hAnsi="Titillium Web"/>
          <w:color w:val="19191A"/>
          <w:sz w:val="30"/>
          <w:szCs w:val="30"/>
        </w:rPr>
        <w:t>,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Sardegna</w:t>
      </w:r>
      <w:r>
        <w:rPr>
          <w:rFonts w:ascii="Titillium Web" w:hAnsi="Titillium Web"/>
          <w:color w:val="19191A"/>
          <w:sz w:val="30"/>
          <w:szCs w:val="30"/>
        </w:rPr>
        <w:t> e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Sicilia</w:t>
      </w:r>
      <w:r>
        <w:rPr>
          <w:rFonts w:ascii="Titillium Web" w:hAnsi="Titillium Web"/>
          <w:color w:val="19191A"/>
          <w:sz w:val="30"/>
          <w:szCs w:val="30"/>
        </w:rPr>
        <w:t> coerenti con le aree tematiche della Strategia nazionale di specializzazione intelligente.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Le risorse stanziate dal MIMIT ammontano a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 300 milioni</w:t>
      </w:r>
      <w:r>
        <w:rPr>
          <w:rFonts w:ascii="Titillium Web" w:hAnsi="Titillium Web"/>
          <w:color w:val="19191A"/>
          <w:sz w:val="30"/>
          <w:szCs w:val="30"/>
        </w:rPr>
        <w:t> di euro, a valere sul programma nazionale “Ricerca, Innovazione e Competitività per la transizione verde e digitale 2021-2027”.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Dal 7 febbraio</w:t>
      </w:r>
      <w:r>
        <w:rPr>
          <w:rFonts w:ascii="Titillium Web" w:hAnsi="Titillium Web"/>
          <w:color w:val="19191A"/>
          <w:sz w:val="30"/>
          <w:szCs w:val="30"/>
        </w:rPr>
        <w:t>, le imprese che esercitano attività industriali, agroindustriali, artigiane, di servizi all’industria e i Centri di ricerca, potranno inviare le istanze per l’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accesso agli incentivi</w:t>
      </w:r>
      <w:r>
        <w:rPr>
          <w:rFonts w:ascii="Titillium Web" w:hAnsi="Titillium Web"/>
          <w:color w:val="19191A"/>
          <w:sz w:val="30"/>
          <w:szCs w:val="30"/>
        </w:rPr>
        <w:t> allo sportello online di Mediocredito centrale, gestore della misura per conto del Ministero.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Già a partire dal 24 gennaio i soggetti interessati potranno precompilare le domande tramite la procedura informatica disponibile al link </w:t>
      </w:r>
      <w:hyperlink r:id="rId4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https://fondocrescitasostenibile.mcc.it/mise-fcs/.</w:t>
        </w:r>
      </w:hyperlink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I progetti, da realizzare in forma collaborativa, devono prevedere spese e costi ammissibili del valore compreso tra 1 milione di euro e 5 milioni.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L’accesso alle agevolazioni avverrà mediante procedura valutativa a sportello.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Oltre al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finanziamento agevolato</w:t>
      </w:r>
      <w:r>
        <w:rPr>
          <w:rFonts w:ascii="Titillium Web" w:hAnsi="Titillium Web"/>
          <w:color w:val="19191A"/>
          <w:sz w:val="30"/>
          <w:szCs w:val="30"/>
        </w:rPr>
        <w:t>, gli incentivi saranno concessi nella forma del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contributo diretto alla spesa</w:t>
      </w:r>
      <w:r>
        <w:rPr>
          <w:rFonts w:ascii="Titillium Web" w:hAnsi="Titillium Web"/>
          <w:color w:val="19191A"/>
          <w:sz w:val="30"/>
          <w:szCs w:val="30"/>
        </w:rPr>
        <w:t>, per una percentuale nominale dei costi e delle spese ammissibili articolata sulla base della dimensione dell’impresa proponente: 35% per le imprese di piccola dimensione; 30% per le imprese di media dimensione; 25% per le imprese di grande dimensione.</w:t>
      </w:r>
    </w:p>
    <w:p w:rsidR="00CB7214" w:rsidRDefault="00CB7214" w:rsidP="00CB7214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Agli Organismi di ricerca sarà concesso un contributo diretto alla spesa pari al 60% dei costi e delle spese ammissibili per attività di ricerca industriale e pari al 40% di sviluppo sperimentale.</w:t>
      </w:r>
    </w:p>
    <w:p w:rsidR="00CB7214" w:rsidRDefault="00CB7214"/>
    <w:sectPr w:rsidR="00CB7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14"/>
    <w:rsid w:val="00C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27BFE-0717-458F-A448-5C5B8A50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214"/>
  </w:style>
  <w:style w:type="paragraph" w:styleId="Titolo1">
    <w:name w:val="heading 1"/>
    <w:basedOn w:val="Normale"/>
    <w:next w:val="Normale"/>
    <w:link w:val="Titolo1Carattere"/>
    <w:uiPriority w:val="9"/>
    <w:qFormat/>
    <w:rsid w:val="00CB7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CB721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B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ocrescitasostenibile.mcc.it/mise-fc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2024-02-13T10:34:00Z</dcterms:created>
  <dcterms:modified xsi:type="dcterms:W3CDTF">2024-02-13T10:36:00Z</dcterms:modified>
</cp:coreProperties>
</file>